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Ревматология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Ревматология | Записей: 1 | Кейс: 2 | Вопросов: 12</w:t>
      </w:r>
    </w:p>
    <w:p>
      <w:r>
        <w:br w:type="page"/>
      </w:r>
    </w:p>
    <w:p>
      <w:pPr>
        <w:pStyle w:val="Heading1"/>
      </w:pPr>
      <w:r>
        <w:t>Ревматология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68 лет обратилась в поликлинику к врачу-ревматологу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На ограничение подвижности, припухание и боль в дистальных межфаланговых суставах обеих кистей, которые усиливаются к концу дня и ночью;</w:t>
        <w:br/>
        <w:t>*</w:t>
        <w:tab/>
        <w:t>сильные боли в коленных суставах  при ходьбе (особенно при спуске по лестнице);</w:t>
        <w:br/>
        <w:t>*</w:t>
        <w:tab/>
        <w:t>припухлость коленных суставов (более выраженная справа), ограничение движений в них.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</w:t>
        <w:tab/>
        <w:t>Появление болей в суставах связывает с механической нагрузкой, в покое боли стихают.</w:t>
        <w:br/>
        <w:t>*</w:t>
        <w:tab/>
        <w:t>Кроме того, в последние три года больная отмечает появление плотных симметричных узловатых утолщений в области дистальных межфаланговых суставов обеих кистей и II проксимального межфалангового сустава справа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Росла и развивалась нормально.</w:t>
        <w:br/>
        <w:t>*</w:t>
        <w:tab/>
        <w:t>Перенесенные заболевания и операции: удаление левого яичника по поводу кисты, удаление миоматозных узлов матки.</w:t>
        <w:br/>
        <w:t>*</w:t>
        <w:tab/>
        <w:t>Наследственность: мать страдает остеохондрозом позвоночника много лет, болят суставы рук.</w:t>
        <w:br/>
        <w:t>*</w:t>
        <w:tab/>
        <w:t>Вредные привычки: не курит,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Состояние относительно удовлетворительное.</w:t>
        <w:br/>
        <w:t>*</w:t>
        <w:tab/>
        <w:t>Повышенного питания, ИМТ 33,0 кг/м2.</w:t>
        <w:br/>
        <w:t>*</w:t>
        <w:tab/>
        <w:t>Кожные покровы и видимые слизистые обычной окраски.</w:t>
        <w:br/>
        <w:t>*</w:t>
        <w:tab/>
        <w:t>В легких дыхание везикулярное. ЧД 18 в мин.</w:t>
        <w:br/>
        <w:t>*</w:t>
        <w:tab/>
        <w:t>Границы сердца не изменены. Тоны сердца приглушены, ритмичные. ЧСС 70 ударов в мин. АД 150/90 мм рт.ст.</w:t>
        <w:br/>
        <w:t>*</w:t>
        <w:tab/>
        <w:t>Живот мягкий, безболезненный.</w:t>
        <w:br/>
        <w:t>*</w:t>
        <w:tab/>
        <w:t>Присутствуют узловатые плотные утолщения в области дистальных и проксимальных межфаланговых суставов обеих кистей, пальцы деформированы, подвижность в этих суставах ограничена.</w:t>
        <w:br/>
        <w:t>*</w:t>
        <w:tab/>
        <w:t>Правый коленный сустав увеличен в объеме, деформирован, местное повышение температуры, болезненность при пальпации, крепитация при пассивных движениях.</w:t>
      </w:r>
    </w:p>
    <w:p>
      <w:r>
        <w:drawing>
          <wp:inline xmlns:a="http://schemas.openxmlformats.org/drawingml/2006/main" xmlns:pic="http://schemas.openxmlformats.org/drawingml/2006/picture">
            <wp:extent cx="5303520" cy="334668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5148d86cbe52428cc0e3b144ea6b7a44b5c0c4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4668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hands.jpg</w:t>
      </w:r>
    </w:p>
    <w:p>
      <w:r>
        <w:drawing>
          <wp:inline xmlns:a="http://schemas.openxmlformats.org/drawingml/2006/main" xmlns:pic="http://schemas.openxmlformats.org/drawingml/2006/picture">
            <wp:extent cx="5303520" cy="377902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b8036c385d490b0df6a55b0b464911003e3997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790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 2.jpg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лабораторным методам обследования, необходимым для постановки диагноза,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циркулирующие иммунные комплексы и иммуноглобулины IgG, IgA, IgM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антитела к циклическому цитруллинированному пептиду (АЦЦП) и антинуклеарный фактор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клинический анализ крови, С - реактивный белок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ревматоидный фактор и мочевая кислота (в сыворотке)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олигомерный матриксный белок хряща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уровень комплемента и ревматоидный фактор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антитела к циклическому цитруллинированному пептиду (АЦЦП) и антинуклеарный фактор; клинический анализ крови, С - реактивный белок; ревматоидный фактор и мочевая кислота (в сыворотке)</w:t>
      </w:r>
    </w:p>
    <w:p>
      <w:pPr>
        <w:ind w:left="504"/>
      </w:pPr>
      <w:r>
        <w:rPr>
          <w:b w:val="0"/>
          <w:i/>
        </w:rPr>
        <w:t>Рекомендовано, пациентам с ОА с сопутствующим поражением мелких суставов кисти и стопы, для дифференциальной диагностики ОА с ревматическими заболеваниями выполнить:</w:t>
        <w:br/>
        <w:br/>
        <w:t>*</w:t>
        <w:tab/>
        <w:t>определение содержания ревматоидного фактора (РФ) в крови</w:t>
        <w:br/>
        <w:t>*</w:t>
        <w:tab/>
        <w:t>антитела к циклическому цитруллиновому пептиду (АЦЦП)</w:t>
        <w:br/>
        <w:t>*</w:t>
        <w:tab/>
        <w:t>исследование уровня мочевой кислоты в крови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Рекомендовано, пациентам с ОА и с синовитом коленного сустава для исключения воспаления выполнить:</w:t>
        <w:br/>
        <w:br/>
        <w:t>* исследование скорости оседания эритроцитов (СОЭ)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Рекомендовано, пациентам с ОА с сопутствующим поражением мелких суставов кисти и стопы, для дифференциальной диагностики ОА с ревматическими заболеваниями выполнить:</w:t>
        <w:br/>
        <w:br/>
        <w:t>*</w:t>
        <w:tab/>
        <w:t>определение содержания ревматоидного фактора (РФ) в крови</w:t>
        <w:br/>
        <w:t>*</w:t>
        <w:tab/>
        <w:t>антитела к циклическому цитруллиновому пептиду (АЦЦП)</w:t>
        <w:br/>
        <w:t>*</w:t>
        <w:tab/>
        <w:t>исследование уровня мочевой кислоты в крови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крови, С - реактивный белок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41,4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39,0 - 49,0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120 - 140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млн/мкл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4,30 - 5,70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тыс/мкл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150 - 400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6,9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тыс/мкл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4,50 - 11,00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Нейтрофилы (общ, число),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48,0 - 78,0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19,0 - 37,0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3,0 - 11,0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Эозинофилы,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1,0 - 5,0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Базофилы, 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 1,0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СОЭ (по Вестергрену)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мм/ч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 15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С - реактивный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мг/л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0,0 - 5,0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3.2. Ревматоидный фактор и мочевая кислота (в сыворотке)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*Исследование*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*Результат*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*Единицы*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*Референсные значения*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&lt;20,0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МЕд/мл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Мочевая кислота в сыворотке крови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155,0 - 428,0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3.3. Антитела к циклическому цитруллинированному пептиду (АЦЦП) и антинуклеарный фактор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циклическому цитруллинированному пептиду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&lt;5,0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3.6. Уровень комплемента и ревматоидный фактор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Исследование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Единицы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Референсные значения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Ревматоидный фактор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МЕ/мл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&lt;30,0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Общий комплемент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42,0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Более 40,0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следует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гониометрию коленных суставов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рентгенографию пораженных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диагностическую артроскопию коленных суставов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артрореографию коленных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пораженных суставов</w:t>
      </w:r>
    </w:p>
    <w:p>
      <w:pPr>
        <w:ind w:left="504"/>
      </w:pPr>
      <w:r>
        <w:rPr>
          <w:b w:val="0"/>
          <w:i/>
        </w:rPr>
        <w:t>Рентгенологическое исследование - наиболее достоверный метод диагностики остеоартроза.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дополнительных методов обследования</w:t>
      </w:r>
    </w:p>
    <w:p>
      <w:pPr>
        <w:pStyle w:val="Heading3"/>
      </w:pPr>
      <w:r>
        <w:t>5.1. Рентгенография пораженных суставов</w:t>
      </w:r>
    </w:p>
    <w:p>
      <w:r>
        <w:drawing>
          <wp:inline xmlns:a="http://schemas.openxmlformats.org/drawingml/2006/main" xmlns:pic="http://schemas.openxmlformats.org/drawingml/2006/picture">
            <wp:extent cx="5303520" cy="4589239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129a0f6915cda0d64c7d8a805b346b421f159c4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5892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r1.jpg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652029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cc6c99a7c1c08f9f27de15f9bf24a76bc326afe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52029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r2.jpg</w:t>
      </w:r>
    </w:p>
    <w:p>
      <w:pPr>
        <w:spacing w:after="58"/>
      </w:pPr>
      <w:r>
        <w:rPr>
          <w:b w:val="0"/>
          <w:i w:val="0"/>
        </w:rPr>
        <w:t>На обзорной рентгенограмме обеих кистей и прицельной рентгенографии проксимальных и дистальных межфаланговых суставов правой кисти в прямой проекции с прямым увеличением изображения, определяются умеренно выраженные остеофиты, деформация краев суставных поверхностей, значительное сужение суставных щелей, остеосклероз в дистальных межфаланговых суставах, кисты со склеротическим ободком, краевые дефекты суставных поверхностей. Выраженные изменения 2 и 3-го дистальных и 2-го проксимального межфаланговых суставов с симптомом «перевёрнутого Т» и «летящей чайки».</w:t>
      </w:r>
    </w:p>
    <w:p>
      <w:r>
        <w:drawing>
          <wp:inline xmlns:a="http://schemas.openxmlformats.org/drawingml/2006/main" xmlns:pic="http://schemas.openxmlformats.org/drawingml/2006/picture">
            <wp:extent cx="5303520" cy="7329328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1afb390548f13e160b3b86e8cb5ee6c0a4fc230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32932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r3.jpg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8259128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aefd4dd77c66a1d16142ed1e662ab2c018bb0c1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25912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r4.jpg</w:t>
      </w:r>
    </w:p>
    <w:p>
      <w:pPr>
        <w:spacing w:after="58"/>
      </w:pPr>
      <w:r>
        <w:rPr>
          <w:b w:val="0"/>
          <w:i w:val="0"/>
        </w:rPr>
        <w:t>На рентгенограмме правого коленного сустава в прямой и боковой проекциях определяется сужение суставной щели, уплощение суставных поверхностей внутреннего мыщелка. Остеофиты на боковых, передних и задних краях суставных поверхностей. Остеохондроматоз в заворотах сустава, окостенение передней крестообразной связки у большеберцовой кости.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Данной больной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Первичный генерализованный остеоартроз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Хронический хондрокальциноз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Ревматоидный артрит серонегативный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подагрический артрит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Первичный генерализованный остеоартроз</w:t>
      </w:r>
    </w:p>
    <w:p>
      <w:pPr>
        <w:ind w:left="504"/>
      </w:pPr>
      <w:r>
        <w:rPr>
          <w:b w:val="0"/>
          <w:i/>
        </w:rPr>
        <w:t>Согласно диагностическим критериям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Первичный генерализованный остеоартроз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Немедикаментозная терапия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массаж кистей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обучение пациентки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тейпирование внутренней части колена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эластичное бинтование коленных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обучение пациентки</w:t>
      </w:r>
    </w:p>
    <w:p>
      <w:pPr>
        <w:ind w:left="504"/>
      </w:pPr>
      <w:r>
        <w:rPr>
          <w:b w:val="0"/>
          <w:i/>
        </w:rPr>
        <w:t>Обучение больных - обязательный компонент всех терапевтических программ. Оно проводится с учетом индивидуальных особенностей больного и включает информацию о заболевании, рекомендации по изменению образа жизни, снижению массы тела и необходимости выполнения физических упражнений.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слабых или умеренных болях в суставах без признаков воспаления показан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парацетамол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трамадол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пироксикам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ацеклофенак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</w:t>
      </w:r>
    </w:p>
    <w:p>
      <w:pPr>
        <w:ind w:left="504"/>
      </w:pPr>
      <w:r>
        <w:rPr>
          <w:b w:val="0"/>
          <w:i/>
        </w:rPr>
        <w:t>При слабых или умеренных болях в суставах применяется парацетамол в минимальной эффективной дозе, но не выше 3,0 г/сут. (максимальная разовая доза должна не превышать 350 мг). Парацетамол можно применять длительно.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наличии признаков воспаления в период усиления болей для купирования болей применяют препараты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антифиброзирующие противовоспалительные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нестероидные противовоспалительные (НПВП)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местные противовоспалительные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стероидные противовоспалительные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нестероидные противовоспалительные (НПВП)</w:t>
      </w:r>
    </w:p>
    <w:p>
      <w:pPr>
        <w:ind w:left="504"/>
      </w:pPr>
      <w:r>
        <w:rPr>
          <w:b w:val="0"/>
          <w:i/>
        </w:rPr>
        <w:t>При сильной боли в суставах лечение следует начинать с НПВП в минимальной эффективной дозе с учетом риска развития НЛР. Для подавления боли при ОА коленных суставов и суставов кистей, не контролируемой приемом парацетамола, или при противопоказаниях к применению пероральному применению НПВП рекомендуются трансдермальные (локальные) их формы, которые должны использоваться в течение 2 нед с последующим перерывом, поскольку эффективность НПВП при более длительном приеме снижается.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болях в суставах и риске развития осложнений со стороны желудочно-кишечного тракта средствами выбора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неселективные нестероидные противовоспалительные препараты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селективные ингибиторы циклооксигеназы-2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местнораздражающие средства природного происхождения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неселективные ингибиторы моноаминоксидазы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селективные ингибиторы циклооксигеназы-2</w:t>
      </w:r>
    </w:p>
    <w:p>
      <w:pPr>
        <w:ind w:left="504"/>
      </w:pPr>
      <w:r>
        <w:rPr>
          <w:b w:val="0"/>
          <w:i/>
        </w:rPr>
        <w:t>При высокой вероятности развития НР со стороны ЖКТ – рекомендуется применение НПВП, механизм которых связан с преимущественным блокированием ЦОГ-2 (Коксибы, Оксикамы и Нестероидные противовоспалительные препараты другие) обязательно в сочетании с ИПП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наличии синовита коленных суставов назначают внутрисуставное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культуры клеток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гиалуроновой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аутоплазмы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глюкокортикоидов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глюкокортикоидов</w:t>
      </w:r>
    </w:p>
    <w:p>
      <w:pPr>
        <w:ind w:left="504"/>
      </w:pPr>
      <w:r>
        <w:rPr>
          <w:b w:val="0"/>
          <w:i/>
        </w:rPr>
        <w:t>Внутрисуставное введение ГК рекомендуется при ОА коленных суставов с синовитом: 1-2 инъекции в год метилпреднизолона (40 мг) или триамцинолона (20 или 40 мг).</w:t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II. - 704 с. : ил. - DOI: 10.33029/9704-5887-7-VNB-2021-1-704. - ISBN 978-5-9704-5887-7.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Симптоматическими лекарственными средствами медленного действия со структурно модифицирующим воздействием на хрящ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кристаллический глюкозамин сульфат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хлорохин фосфат и гидроксихлорохин сульфат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генно-инженерные биологические препараты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синтетические базисные противовоспалительные препараты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кристаллический глюкозамин сульфат</w:t>
      </w:r>
    </w:p>
    <w:p>
      <w:pPr>
        <w:ind w:left="504"/>
      </w:pPr>
      <w:r>
        <w:rPr>
          <w:b w:val="0"/>
          <w:i/>
        </w:rPr>
        <w:t>На начальных стадиях заболевания и при множественном поражении суставов рекомендовано назначение хондроитина сульфат, глюкозамина, их комбинации, а также нестероидных противовоспалительных и противоревматических препаратов других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наличии выраженного синовита коленных суставов противопоказано внутрисуставное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гиалуроновой кислоты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триамцинолона ацетонида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гидрокортизона ацетата суспензии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бетаметазона дипропионата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гиалуроновой кислоты</w:t>
      </w:r>
    </w:p>
    <w:p>
      <w:pPr>
        <w:ind w:left="504"/>
      </w:pPr>
      <w:r>
        <w:rPr>
          <w:b w:val="0"/>
          <w:i/>
        </w:rPr>
        <w:t>Рекомендуется внутрисуставное введение протеза синовиальной жидкости на основе гиалуроната натрия для уменьшения боли и улучшения функции сустава при наличии инициативы со стороны пациента</w:t>
        <w:br/>
        <w:br/>
        <w:t>Гонартроз. Клинические рекомендации. Ассоциация травматологов-ортопедов России, Ассоциация ревматологов России, 2021</w:t>
        <w:br/>
        <w:br/>
      </w:r>
      <w:hyperlink r:id="rId11">
        <w:r>
          <w:rPr>
            <w:color w:val="0F766E"/>
            <w:u w:val="single"/>
          </w:rPr>
          <w:t>Клинические рекомендации Минздрава России. Гонартроз, 2021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Узелки гебердена являются проявлением остеоартроза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первого запястно-пястного сустава кисти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проксимальных межфаланговых суставов кисти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дистальных межфаланговых суставов кисти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первого плюснефалангового сустава стопы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дистальных межфаланговых суставов кисти</w:t>
      </w:r>
    </w:p>
    <w:p>
      <w:pPr>
        <w:ind w:left="504"/>
      </w:pPr>
      <w:r>
        <w:rPr>
          <w:b w:val="0"/>
          <w:i/>
        </w:rPr>
        <w:t>Поражение дистальных и проксимальных межфаланговых суставов при остео-артрите проявляется болью и постепенным формированием костных разрастаний (узелки Гебердена в дистальных межфаланговых и узелки Бушара в проксимальных межфаланговых суставах).</w:t>
        <w:br/>
        <w:br/>
      </w:r>
      <w:hyperlink r:id="rId27">
        <w:r>
          <w:rPr>
            <w:color w:val="0F766E"/>
            <w:u w:val="single"/>
          </w:rPr>
          <w:t>Федеральные клинические рекомендации по диагностике и лечению остеоартроза. Ассоциация ревматологов России, 2013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Узелки Бушара являются проявлением остеоартроза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пястно-фаланговых суставов кисти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дистальных межфаланговых суставов кисти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проксимальных межфаланговых суставов кисти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шиловидного отростка локтевой 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проксимальных межфаланговых суставов кисти</w:t>
      </w:r>
    </w:p>
    <w:p>
      <w:pPr>
        <w:ind w:left="504"/>
      </w:pPr>
      <w:r>
        <w:rPr>
          <w:b w:val="0"/>
          <w:i/>
        </w:rPr>
        <w:t>Поражение дистальных и проксимальных межфаланговых суставов при остео-артрите проявляется болью и постепенным формированием костных разрастаний (узелки Гебердена в дистальных межфаланговых и узелки Бушара в проксимальных межфаланговых суставах).</w:t>
        <w:br/>
        <w:br/>
      </w:r>
      <w:hyperlink r:id="rId27">
        <w:r>
          <w:rPr>
            <w:color w:val="0F766E"/>
            <w:u w:val="single"/>
          </w:rPr>
          <w:t>Федеральные клинические рекомендации по диагностике и лечению остеоартроза. Ассоциация ревматологов России, 2013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library.mededtech.ru/rest/documents/KP667/" TargetMode="External"/><Relationship Id="rId12" Type="http://schemas.openxmlformats.org/officeDocument/2006/relationships/hyperlink" Target="https://library.mededtech.ru/rest/documents/KP667/#paragraph_p7jclp" TargetMode="External"/><Relationship Id="rId13" Type="http://schemas.openxmlformats.org/officeDocument/2006/relationships/hyperlink" Target="https://library.mededtech.ru/rest/documents/KP667/#list_item_sv2epa" TargetMode="External"/><Relationship Id="rId14" Type="http://schemas.openxmlformats.org/officeDocument/2006/relationships/hyperlink" Target="https://library.mededtech.ru/rest/documents/ISBN9785970458877/?anchor=paragraph_7bh4lv#paragraph_7bh4lv" TargetMode="External"/><Relationship Id="rId15" Type="http://schemas.openxmlformats.org/officeDocument/2006/relationships/image" Target="media/image3.jpg"/><Relationship Id="rId16" Type="http://schemas.openxmlformats.org/officeDocument/2006/relationships/image" Target="media/image4.jpg"/><Relationship Id="rId17" Type="http://schemas.openxmlformats.org/officeDocument/2006/relationships/image" Target="media/image5.jpg"/><Relationship Id="rId18" Type="http://schemas.openxmlformats.org/officeDocument/2006/relationships/image" Target="media/image6.jpg"/><Relationship Id="rId19" Type="http://schemas.openxmlformats.org/officeDocument/2006/relationships/hyperlink" Target="https://library.mededtech.ru/rest/documents/ISBN9785970458877/?anchor=paragraph_h69afj#paragraph_h69afj" TargetMode="External"/><Relationship Id="rId20" Type="http://schemas.openxmlformats.org/officeDocument/2006/relationships/hyperlink" Target="https://library.mededtech.ru/rest/documents/ISBN9785970458877/?anchor=paragraph_2gpt7a#paragraph_2gpt7a" TargetMode="External"/><Relationship Id="rId21" Type="http://schemas.openxmlformats.org/officeDocument/2006/relationships/hyperlink" Target="https://library.mededtech.ru/rest/documents/ISBN9785970458877/?anchor=paragraph_3djj5c#paragraph_3djj5c" TargetMode="External"/><Relationship Id="rId22" Type="http://schemas.openxmlformats.org/officeDocument/2006/relationships/hyperlink" Target="https://library.mededtech.ru/rest/documents/ISBN9785970458877/?anchor=paragraph_3ednhl#paragraph_3ednhl" TargetMode="External"/><Relationship Id="rId23" Type="http://schemas.openxmlformats.org/officeDocument/2006/relationships/hyperlink" Target="https://library.mededtech.ru/rest/documents/KP667/#list_item_ht6ied" TargetMode="External"/><Relationship Id="rId24" Type="http://schemas.openxmlformats.org/officeDocument/2006/relationships/hyperlink" Target="https://library.mededtech.ru/rest/documents/ISBN9785970458877/?anchor=paragraph_ne2odg#paragraph_ne2odg" TargetMode="External"/><Relationship Id="rId25" Type="http://schemas.openxmlformats.org/officeDocument/2006/relationships/hyperlink" Target="https://library.mededtech.ru/rest/documents/KP667/#list_item_1aak1f" TargetMode="External"/><Relationship Id="rId26" Type="http://schemas.openxmlformats.org/officeDocument/2006/relationships/hyperlink" Target="https://library.mededtech.ru/rest/documents/KP667/#list_item_7ihl17" TargetMode="External"/><Relationship Id="rId27" Type="http://schemas.openxmlformats.org/officeDocument/2006/relationships/hyperlink" Target="https://library.mededtech.ru/rest/documents/rec_osteoartrit/" TargetMode="External"/><Relationship Id="rId28" Type="http://schemas.openxmlformats.org/officeDocument/2006/relationships/hyperlink" Target="https://library.mededtech.ru/rest/documents/rec_osteoartrit/index.html#list_item_7soj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